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96742" w14:textId="77777777" w:rsidR="00D84310" w:rsidRDefault="00702963">
      <w:pPr>
        <w:spacing w:before="200" w:after="80"/>
      </w:pPr>
      <w:r>
        <w:rPr>
          <w:b/>
          <w:bCs/>
          <w:color w:val="1F3864"/>
          <w:sz w:val="44"/>
          <w:szCs w:val="44"/>
        </w:rPr>
        <w:t>WDI 2026 Topic Scoring Criteria</w:t>
      </w:r>
    </w:p>
    <w:p w14:paraId="44E96743" w14:textId="77777777" w:rsidR="00D84310" w:rsidRDefault="00702963">
      <w:pPr>
        <w:spacing w:after="300"/>
      </w:pPr>
      <w:r>
        <w:rPr>
          <w:b/>
          <w:bCs/>
          <w:color w:val="2E75B6"/>
          <w:sz w:val="36"/>
          <w:szCs w:val="36"/>
        </w:rPr>
        <w:t>Topic 25: Grievance Mechanisms</w:t>
      </w:r>
    </w:p>
    <w:p w14:paraId="44E96744" w14:textId="77777777" w:rsidR="00D84310" w:rsidRDefault="00D84310">
      <w:pPr>
        <w:pBdr>
          <w:bottom w:val="single" w:sz="4" w:space="1" w:color="D9D9D9"/>
        </w:pBdr>
        <w:spacing w:before="240" w:after="240"/>
      </w:pPr>
    </w:p>
    <w:p w14:paraId="44E96745" w14:textId="77777777" w:rsidR="00D84310" w:rsidRDefault="00702963">
      <w:pPr>
        <w:pStyle w:val="Heading1"/>
        <w:spacing w:before="360" w:after="160"/>
      </w:pPr>
      <w:r>
        <w:rPr>
          <w:b/>
          <w:bCs/>
          <w:color w:val="1F3864"/>
          <w:sz w:val="34"/>
          <w:szCs w:val="34"/>
        </w:rPr>
        <w:t>1. Topic Overview</w:t>
      </w:r>
    </w:p>
    <w:p w14:paraId="44E96746" w14:textId="77777777" w:rsidR="00D84310" w:rsidRDefault="00702963">
      <w:pPr>
        <w:spacing w:before="80" w:after="80"/>
      </w:pPr>
      <w:r>
        <w:rPr>
          <w:color w:val="1A1A1A"/>
        </w:rPr>
        <w:t>This topic assesses whether the company has grievance mechanisms through which workers can raise complaints, how broadly accessible those mechanisms are, whether the company assesses their effectiveness against international standards, and how it protects workers who speak up. It also captures quantitative data on grievances reported and resolved.</w:t>
      </w:r>
    </w:p>
    <w:p w14:paraId="44E96747" w14:textId="77777777" w:rsidR="00D84310" w:rsidRDefault="00702963">
      <w:pPr>
        <w:spacing w:before="80" w:after="80"/>
      </w:pPr>
      <w:r>
        <w:rPr>
          <w:color w:val="1A1A1A"/>
        </w:rPr>
        <w:t>The topic is scored using eleven questions: Q10.1 (grievance mechanism gate, Yes/Not Yet), Q10.1a (if Yes — mechanism table), Q10.1b (if Not Yet — alternative approaches), Q10.2 (worker coverage dropdown, ALWAYS applicable), Q10.2a (access details, ALWAYS applicable), Q10.2b (plans for uncovered groups, conditional), Q10.3 (UNGP P31 effectiveness assessment gate, Yes/Not Yet), Q10.3a (if Yes — assessment steps and improvements), Q10.3b (if Not Yet — how workers’ trust is assessed), Q10.4 (grievances reporte</w:t>
      </w:r>
      <w:r>
        <w:rPr>
          <w:color w:val="1A1A1A"/>
        </w:rPr>
        <w:t>d/resolved by scope, table, ALWAYS applicable), Q10.5 (one remedy example, ALWAYS applicable), and Q10.6 (whistleblower protection, ALWAYS applicable). Q10.E is excluded from scoring.</w:t>
      </w:r>
    </w:p>
    <w:p w14:paraId="44E96748" w14:textId="77777777" w:rsidR="00D84310" w:rsidRDefault="00702963">
      <w:pPr>
        <w:pStyle w:val="Heading2"/>
        <w:spacing w:before="280" w:after="120"/>
      </w:pPr>
      <w:r>
        <w:rPr>
          <w:b/>
          <w:bCs/>
          <w:color w:val="2E75B6"/>
        </w:rPr>
        <w:t>Two Independent Gates Plus Always-Applicable Questions</w:t>
      </w:r>
    </w:p>
    <w:p w14:paraId="44E96749" w14:textId="77777777" w:rsidR="00D84310" w:rsidRDefault="00702963">
      <w:pPr>
        <w:spacing w:before="80" w:after="80"/>
      </w:pPr>
      <w:r>
        <w:rPr>
          <w:color w:val="1A1A1A"/>
        </w:rPr>
        <w:t>Q10.1 and Q10.3 are two independent Yes/Not Yet gates, both always applicable. Q10.2, Q10.2a, Q10.4, Q10.5, and Q10.6 are always applicable to every company. The Not Yet cap applies to Q10.1b, Q10.3b, and Q10.2b. However, the Awareness tags on Q10.1b and Q10.3b are both described as ‘implicit acknowledgement’ in the evidence columns — these carry only minimal gap recognition and do not meaningfully lift Awareness the way a concrete plans + expected date element would. Awareness therefore uses the 0,1,3,5 sc</w:t>
      </w:r>
      <w:r>
        <w:rPr>
          <w:color w:val="1A1A1A"/>
        </w:rPr>
        <w:t>ale, where the intermediate level (3) is reached through Q10.2b (which has explicit plans + timeline elements) or by having both gates answered with meaningful engagement.</w:t>
      </w:r>
    </w:p>
    <w:p w14:paraId="44E9674A" w14:textId="77777777" w:rsidR="00D84310" w:rsidRDefault="00702963">
      <w:pPr>
        <w:pStyle w:val="Heading2"/>
        <w:spacing w:before="280" w:after="120"/>
      </w:pPr>
      <w:r>
        <w:rPr>
          <w:b/>
          <w:bCs/>
          <w:color w:val="2E75B6"/>
        </w:rPr>
        <w:t>Q10.4: Binary Counts — Not Scored as Higher or Lower Being Better</w:t>
      </w:r>
    </w:p>
    <w:p w14:paraId="44E9674B" w14:textId="77777777" w:rsidR="00D84310" w:rsidRDefault="00702963">
      <w:pPr>
        <w:spacing w:before="80" w:after="80"/>
      </w:pPr>
      <w:r>
        <w:rPr>
          <w:color w:val="1A1A1A"/>
        </w:rPr>
        <w:t>Q10.4 records the number of grievances reported and resolved in the reporting period for direct operations and the value chain. These counts are binary — disclosing them transparently is what matters, not whether the number is high or low. A high reported grievances count can indicate a functioning, trusted mechanism (more workers feel safe raising concerns); a low count can indicate that barriers to reporting exist. The guidance specifically asks for zero in the value chain row if no value chain grievances</w:t>
      </w:r>
      <w:r>
        <w:rPr>
          <w:color w:val="1A1A1A"/>
        </w:rPr>
        <w:t xml:space="preserve"> were received — stating zero is Action evidence; leaving blank is not.</w:t>
      </w:r>
    </w:p>
    <w:p w14:paraId="44E9674C" w14:textId="77777777" w:rsidR="00D84310" w:rsidRDefault="00702963">
      <w:pPr>
        <w:pStyle w:val="Heading2"/>
        <w:spacing w:before="280" w:after="120"/>
      </w:pPr>
      <w:r>
        <w:rPr>
          <w:b/>
          <w:bCs/>
          <w:color w:val="2E75B6"/>
        </w:rPr>
        <w:t>3A Dimension Mapping</w:t>
      </w:r>
    </w:p>
    <w:p w14:paraId="44E9674D" w14:textId="77777777" w:rsidR="00D84310" w:rsidRDefault="00702963">
      <w:pPr>
        <w:spacing w:before="80" w:after="80"/>
      </w:pPr>
      <w:r>
        <w:rPr>
          <w:color w:val="1A1A1A"/>
        </w:rPr>
        <w:t>Awareness: Q10.1 gate (always — binary recognition of whether a mechanism exists), Q10.3 gate (always — binary recognition of whether UNGP P31 assessment is conducted), Q10.2b plans + timeline element (conditional — if some worker groups are not covered, the plans to cover them and their timeline is the Awareness lift pathway). Approach: Q10.1a mechanism table (if Q10.1 = Yes), Q10.1b alternatives (if Q10.1 = Not Yet, capped at 3), Q10.2 coverage dropdown (always), Q10.2a access details and G2 monitoring (a</w:t>
      </w:r>
      <w:r>
        <w:rPr>
          <w:color w:val="1A1A1A"/>
        </w:rPr>
        <w:t>lways), Q10.2b access methodology and alternatives (conditional, capped at 3), Q10.3a effectiveness assessment process referencing UNGP P31 (if Q10.3 = Yes), Q10.3b trust assessment methods (if Q10.3 = Not Yet, capped at 3), Q10.6 whistleblower protection (always). Action: Q10.3a deficiencies identified and improvements implemented (if Q10.3 = Yes), Q10.4 reported/resolved grievance counts for direct operations and value chain (always), Q10.5 one remedy example with G2 verification (always).</w:t>
      </w:r>
    </w:p>
    <w:p w14:paraId="44E9674E" w14:textId="77777777" w:rsidR="00D84310" w:rsidRDefault="00702963">
      <w:pPr>
        <w:spacing w:before="80" w:after="60"/>
      </w:pPr>
      <w:r>
        <w:rPr>
          <w:i/>
          <w:iCs/>
          <w:color w:val="666666"/>
          <w:sz w:val="17"/>
          <w:szCs w:val="17"/>
        </w:rPr>
        <w:t>Q10.E (Notes on Grievance mechanisms) is excluded from scoring.</w:t>
      </w:r>
    </w:p>
    <w:p w14:paraId="44E9674F" w14:textId="77777777" w:rsidR="00D84310" w:rsidRDefault="00D84310">
      <w:pPr>
        <w:pBdr>
          <w:bottom w:val="single" w:sz="4" w:space="1" w:color="D9D9D9"/>
        </w:pBdr>
        <w:spacing w:before="240" w:after="240"/>
      </w:pPr>
    </w:p>
    <w:p w14:paraId="44E96750" w14:textId="77777777" w:rsidR="00D84310" w:rsidRDefault="00702963">
      <w:pPr>
        <w:pStyle w:val="Heading1"/>
        <w:spacing w:before="360" w:after="160"/>
      </w:pPr>
      <w:r>
        <w:rPr>
          <w:b/>
          <w:bCs/>
          <w:color w:val="1F3864"/>
          <w:sz w:val="34"/>
          <w:szCs w:val="34"/>
        </w:rPr>
        <w:lastRenderedPageBreak/>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360"/>
        <w:gridCol w:w="3360"/>
        <w:gridCol w:w="3360"/>
      </w:tblGrid>
      <w:tr w:rsidR="00D84310" w14:paraId="44E96754" w14:textId="77777777">
        <w:tblPrEx>
          <w:tblCellMar>
            <w:top w:w="0" w:type="dxa"/>
            <w:bottom w:w="0" w:type="dxa"/>
          </w:tblCellMar>
        </w:tblPrEx>
        <w:trPr>
          <w:tblHeader/>
        </w:trPr>
        <w:tc>
          <w:tcPr>
            <w:tcW w:w="336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44E96751" w14:textId="77777777" w:rsidR="00D84310" w:rsidRDefault="00702963">
            <w:pPr>
              <w:jc w:val="center"/>
            </w:pPr>
            <w:r>
              <w:rPr>
                <w:b/>
                <w:bCs/>
                <w:color w:val="FFFFFF"/>
                <w:sz w:val="17"/>
                <w:szCs w:val="17"/>
              </w:rPr>
              <w:t>AWARENESS</w:t>
            </w:r>
          </w:p>
        </w:tc>
        <w:tc>
          <w:tcPr>
            <w:tcW w:w="3360" w:type="dxa"/>
            <w:tcBorders>
              <w:top w:val="single" w:sz="4" w:space="0" w:color="70AD47"/>
              <w:left w:val="single" w:sz="1" w:space="0" w:color="CCCCCC"/>
              <w:bottom w:val="single" w:sz="4" w:space="0" w:color="70AD47"/>
              <w:right w:val="single" w:sz="1" w:space="0" w:color="CCCCCC"/>
            </w:tcBorders>
            <w:shd w:val="clear" w:color="auto" w:fill="70AD47"/>
            <w:tcMar>
              <w:top w:w="100" w:type="dxa"/>
              <w:left w:w="130" w:type="dxa"/>
              <w:bottom w:w="100" w:type="dxa"/>
              <w:right w:w="130" w:type="dxa"/>
            </w:tcMar>
            <w:vAlign w:val="center"/>
          </w:tcPr>
          <w:p w14:paraId="44E96752" w14:textId="77777777" w:rsidR="00D84310" w:rsidRDefault="00702963">
            <w:pPr>
              <w:jc w:val="center"/>
            </w:pPr>
            <w:r>
              <w:rPr>
                <w:b/>
                <w:bCs/>
                <w:color w:val="FFFFFF"/>
                <w:sz w:val="17"/>
                <w:szCs w:val="17"/>
              </w:rPr>
              <w:t>APPROACH</w:t>
            </w:r>
          </w:p>
        </w:tc>
        <w:tc>
          <w:tcPr>
            <w:tcW w:w="336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44E96753" w14:textId="77777777" w:rsidR="00D84310" w:rsidRDefault="00702963">
            <w:pPr>
              <w:jc w:val="center"/>
            </w:pPr>
            <w:r>
              <w:rPr>
                <w:b/>
                <w:bCs/>
                <w:color w:val="FFFFFF"/>
                <w:sz w:val="17"/>
                <w:szCs w:val="17"/>
              </w:rPr>
              <w:t>ACTION</w:t>
            </w:r>
          </w:p>
        </w:tc>
      </w:tr>
      <w:tr w:rsidR="00D84310" w14:paraId="44E96758" w14:textId="77777777">
        <w:tblPrEx>
          <w:tblCellMar>
            <w:top w:w="0" w:type="dxa"/>
            <w:bottom w:w="0" w:type="dxa"/>
          </w:tblCellMar>
        </w:tblPrEx>
        <w:tc>
          <w:tcPr>
            <w:tcW w:w="336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55" w14:textId="77777777" w:rsidR="00D84310" w:rsidRDefault="00702963">
            <w:pPr>
              <w:spacing w:before="20" w:after="20"/>
            </w:pPr>
            <w:r>
              <w:rPr>
                <w:color w:val="1A1A1A"/>
                <w:sz w:val="18"/>
                <w:szCs w:val="18"/>
              </w:rPr>
              <w:t xml:space="preserve">Awareness is assessed from three sources: Q10.1 gate (always), Q10.3 gate (always), and Q10.2b plans+timeline element (conditional on some worker groups being uncovered).  Q10.1 gate (always): Yes = full recognition that a grievance mechanism exists. Not Yet = acknowledgement that it does not.  Q10.3 gate (always): Yes = full recognition that the company assesses grievance mechanism effectiveness against UNGP Principle 31 criteria. Not Yet = acknowledgement that formal P31 assessment is not yet conducted.  </w:t>
            </w:r>
            <w:r>
              <w:rPr>
                <w:color w:val="1A1A1A"/>
                <w:sz w:val="18"/>
                <w:szCs w:val="18"/>
              </w:rPr>
              <w:t>Q10.2b plans+timeline (conditional, capped at 3): if some worker groups are not selected in Q10.2 (not all groups are covered), Q10.2b asks for plans to provide access, including a timeline. This is the Awareness lift pathway — a specific timeline for expanding coverage lifts Awareness toward 3.  Note: Q10.1b and Q10.3b carry only implicit gap recognition (not concrete plans+date elements); they do not independently lift Awareness.  OR and AND logic: lower scores via any one gate (OR). Score 5 requires AND:</w:t>
            </w:r>
            <w:r>
              <w:rPr>
                <w:color w:val="1A1A1A"/>
                <w:sz w:val="18"/>
                <w:szCs w:val="18"/>
              </w:rPr>
              <w:t xml:space="preserve"> Q10.1 = Yes AND Q10.3 = Yes AND, where Q10.2b is applicable, it provides a timeline for expanding coverage.  Primary evidence: Q10.1 and Q10.3 gate selections; Q10.2b timeline where applicable.</w:t>
            </w:r>
          </w:p>
        </w:tc>
        <w:tc>
          <w:tcPr>
            <w:tcW w:w="336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56" w14:textId="77777777" w:rsidR="00D84310" w:rsidRDefault="00702963">
            <w:pPr>
              <w:spacing w:before="20" w:after="20"/>
            </w:pPr>
            <w:r>
              <w:rPr>
                <w:color w:val="1A1A1A"/>
                <w:sz w:val="18"/>
                <w:szCs w:val="18"/>
              </w:rPr>
              <w:t>Approach is assessed from seven sources: Q10.1a (if Yes), Q10.1b alternatives (if Not Yet, capped at 3), Q10.2 dropout (always), Q10.2a (always), Q10.2b (conditional, capped at 3), Q10.3a process (if Yes), Q10.3b trust assessment (if Not Yet, capped at 3), and Q10.6 (always).  Q10.1a (if Q10.1 = Yes): Table Q10.1a has rows for each mechanism (rows can be added). Each row: mechanism type dropdown (Hotline, Web portal, In-person/HR, Trade union channel, Other), anonymity Yes/Not yet, worker types covered drop</w:t>
            </w:r>
            <w:r>
              <w:rPr>
                <w:color w:val="1A1A1A"/>
                <w:sz w:val="18"/>
                <w:szCs w:val="18"/>
              </w:rPr>
              <w:t>down, 300-word description covering how grievances are received, reviewed, addressed, assurances of confidentiality and non-retaliation.  Q10.1b (if Not Yet, CAPPED AT 3): alternative approaches ensuring management considers worker voices.  Q10.2 (always): the worker coverage scope selector — Employees, Non-employee direct ops workers, Value chain workers, Other. Broader coverage = stronger Approach.  Q10.2a (always): for each selected group, the specific sub-groups covered and how they access mechanisms; G</w:t>
            </w:r>
            <w:r>
              <w:rPr>
                <w:color w:val="1A1A1A"/>
                <w:sz w:val="18"/>
                <w:szCs w:val="18"/>
              </w:rPr>
              <w:t>2: monitoring of access, multilingual provision, reprisal-safety assessment, third parties involved.  Q10.2b (conditional, CAPPED AT 3): for uncovered groups, how they will access mechanisms and any alternative measures.  Q10.3a (if Q10.3 = Yes): the steps taken to assess effectiveness against UNGP P31 criteria (legitimacy, accessibility, predictability, equitability, transparency, human rights compatibility) — including trust feedback, accessibility verification, training on grievance rights.  Q10.3b (if Q</w:t>
            </w:r>
            <w:r>
              <w:rPr>
                <w:color w:val="1A1A1A"/>
                <w:sz w:val="18"/>
                <w:szCs w:val="18"/>
              </w:rPr>
              <w:t>10.3 = Not Yet, CAPPED AT 3): how the company ensures workers trust the mechanism, how often feedback is gathered, which stakeholders are involved.  Q10.6 (always): whistleblower protection measures — speak-up culture, legal protection awareness, training, confidential/anonymous reporting, non-retaliation protections; which worker groups are covered.  OR and AND logic: any one always-applicable Approach source can reach score 1–2 (OR). Score 5 requires AND: Q10.1a substantive + Q10.2 breadth + Q10.2a with G</w:t>
            </w:r>
            <w:r>
              <w:rPr>
                <w:color w:val="1A1A1A"/>
                <w:sz w:val="18"/>
                <w:szCs w:val="18"/>
              </w:rPr>
              <w:t xml:space="preserve">2 + Q10.6 comprehensive + </w:t>
            </w:r>
            <w:r>
              <w:rPr>
                <w:color w:val="1A1A1A"/>
                <w:sz w:val="18"/>
                <w:szCs w:val="18"/>
              </w:rPr>
              <w:lastRenderedPageBreak/>
              <w:t>Q10.3a/b engaged.  Primary evidence: mechanism types, anonymity, and description in Q10.1a; coverage breadth in Q10.2; monitoring in Q10.2a; P31 assessment in Q10.3a; whistleblower protections in Q10.6.</w:t>
            </w:r>
          </w:p>
        </w:tc>
        <w:tc>
          <w:tcPr>
            <w:tcW w:w="336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57" w14:textId="77777777" w:rsidR="00D84310" w:rsidRDefault="00702963">
            <w:pPr>
              <w:spacing w:before="20" w:after="20"/>
            </w:pPr>
            <w:r>
              <w:rPr>
                <w:color w:val="1A1A1A"/>
                <w:sz w:val="18"/>
                <w:szCs w:val="18"/>
              </w:rPr>
              <w:lastRenderedPageBreak/>
              <w:t>Action is assessed from three sources: Q10.3a improvements (if Q10.3 = Yes), Q10.4 (always), and Q10.5 (always).  Q10.3a improvements (if Q10.3 = Yes): the Action elements within Q10.3a are: whether the company has identified any deficiencies in its grievance mechanisms, and the improvements it is carrying out as a result. These are concrete, implemented changes — not just assessment processes.  Q10.4 (always): Table Q10.4 has two fixed rows — Direct operations (reported and resolved counts) and Value chain</w:t>
            </w:r>
            <w:r>
              <w:rPr>
                <w:color w:val="1A1A1A"/>
                <w:sz w:val="18"/>
                <w:szCs w:val="18"/>
              </w:rPr>
              <w:t xml:space="preserve"> (reported and resolved counts). What matters is that both rows are addressed with figures — the number itself is not ‘higher = better’ or ‘lower = better.’ The guidance explicitly instructs the company to put zero in the value chain row if no value chain grievances were received. Providing both reported AND resolved figures for both scopes is the completeness standard.  Q10.5 (always): a 300-word text asking for one specific remedy example. Required elements: (1) the grievance example and how remedy was pr</w:t>
            </w:r>
            <w:r>
              <w:rPr>
                <w:color w:val="1A1A1A"/>
                <w:sz w:val="18"/>
                <w:szCs w:val="18"/>
              </w:rPr>
              <w:t>ovided or contributed to; (2) any challenges. G2 asks for: how the company verified effectiveness of actions; whether impacted workers were consulted; whether results were communicated; lessons learned and how integrated.  OR and AND logic: Q10.4 alone (always-applicable) provides a baseline. Score 3 requires Q10.4 complete for both scopes AND Q10.5 with at least the remedy example. Score 5 requires AND: Q10.4 complete + Q10.5 with G2 elements + Q10.3a improvements (if Q10.3 = Yes).  Primary evidence: Q10.4</w:t>
            </w:r>
            <w:r>
              <w:rPr>
                <w:color w:val="1A1A1A"/>
                <w:sz w:val="18"/>
                <w:szCs w:val="18"/>
              </w:rPr>
              <w:t xml:space="preserve"> reported/resolved counts for both scopes; Q10.5 remedy description, challenges, and G2 elements; Q10.3a deficiencies and improvements.</w:t>
            </w:r>
          </w:p>
        </w:tc>
      </w:tr>
    </w:tbl>
    <w:p w14:paraId="44E96759" w14:textId="77777777" w:rsidR="00D84310" w:rsidRDefault="00D84310">
      <w:pPr>
        <w:pBdr>
          <w:bottom w:val="single" w:sz="4" w:space="1" w:color="D9D9D9"/>
        </w:pBdr>
        <w:spacing w:before="240" w:after="240"/>
      </w:pPr>
    </w:p>
    <w:p w14:paraId="44E9675A" w14:textId="77777777" w:rsidR="00D84310" w:rsidRDefault="00702963">
      <w:pPr>
        <w:pStyle w:val="Heading1"/>
        <w:spacing w:before="360" w:after="160"/>
      </w:pPr>
      <w:r>
        <w:rPr>
          <w:b/>
          <w:bCs/>
          <w:color w:val="1F3864"/>
          <w:sz w:val="34"/>
          <w:szCs w:val="34"/>
        </w:rPr>
        <w:t>3. Scoring Rubric — All Dimensions</w:t>
      </w:r>
    </w:p>
    <w:p w14:paraId="44E9675B" w14:textId="77777777" w:rsidR="00D84310" w:rsidRDefault="00702963">
      <w:pPr>
        <w:spacing w:before="80" w:after="60"/>
      </w:pPr>
      <w:r>
        <w:rPr>
          <w:i/>
          <w:iCs/>
          <w:color w:val="666666"/>
          <w:sz w:val="17"/>
          <w:szCs w:val="17"/>
        </w:rPr>
        <w:t>Awareness uses 0,1,3,5 (Q10.1b and Q10.3b carry only implicit gap recognition; Q10.2b plans+timeline is the lift pathway). Approach uses 0,1,2,3,5 (multiple always-applicable sources). Action uses 0,1,2,3,5 (Q10.4 and Q10.5 always applicable). OR and AND explicitly stated at every level.</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1"/>
        <w:gridCol w:w="1195"/>
        <w:gridCol w:w="677"/>
        <w:gridCol w:w="1189"/>
        <w:gridCol w:w="3697"/>
        <w:gridCol w:w="2661"/>
      </w:tblGrid>
      <w:tr w:rsidR="00D84310" w14:paraId="44E96762" w14:textId="77777777">
        <w:tblPrEx>
          <w:tblCellMar>
            <w:top w:w="0" w:type="dxa"/>
            <w:bottom w:w="0" w:type="dxa"/>
          </w:tblCellMar>
        </w:tblPrEx>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5C" w14:textId="77777777" w:rsidR="00D84310" w:rsidRDefault="00702963">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5D" w14:textId="77777777" w:rsidR="00D84310" w:rsidRDefault="00702963">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5E" w14:textId="77777777" w:rsidR="00D84310" w:rsidRDefault="00702963">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5F" w14:textId="77777777" w:rsidR="00D84310" w:rsidRDefault="00702963">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60" w14:textId="77777777" w:rsidR="00D84310" w:rsidRDefault="00702963">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61" w14:textId="77777777" w:rsidR="00D84310" w:rsidRDefault="00702963">
            <w:pPr>
              <w:jc w:val="center"/>
            </w:pPr>
            <w:r>
              <w:rPr>
                <w:b/>
                <w:bCs/>
                <w:color w:val="FFFFFF"/>
                <w:sz w:val="15"/>
                <w:szCs w:val="15"/>
              </w:rPr>
              <w:t>Next Step</w:t>
            </w:r>
          </w:p>
        </w:tc>
      </w:tr>
      <w:tr w:rsidR="00D84310" w14:paraId="44E96769"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63"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64" w14:textId="77777777" w:rsidR="00D84310" w:rsidRDefault="007029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65" w14:textId="77777777" w:rsidR="00D84310" w:rsidRDefault="0070296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66" w14:textId="77777777" w:rsidR="00D84310" w:rsidRDefault="00702963">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67" w14:textId="77777777" w:rsidR="00D84310" w:rsidRDefault="00702963">
            <w:pPr>
              <w:spacing w:before="20" w:after="20"/>
            </w:pPr>
            <w:r>
              <w:rPr>
                <w:color w:val="1A1A1A"/>
                <w:sz w:val="18"/>
                <w:szCs w:val="18"/>
              </w:rPr>
              <w:t>AND across all sources: Q10.1 is blank AND Q10.3 is blank. No gate has been answered. The company provides no recognition of whether grievance mechanisms or UNGP P31 assessment exist.</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68" w14:textId="77777777" w:rsidR="00D84310" w:rsidRDefault="00702963">
            <w:pPr>
              <w:spacing w:before="20" w:after="20"/>
            </w:pPr>
            <w:r>
              <w:rPr>
                <w:i/>
                <w:iCs/>
                <w:color w:val="1A1A1A"/>
                <w:sz w:val="17"/>
                <w:szCs w:val="17"/>
              </w:rPr>
              <w:t>Answer Q10.1 (Yes or Not Yet) and Q10.3 (Yes or Not Yet). Even selecting Not Yet for both demonstrates baseline engagement with these topics.</w:t>
            </w:r>
          </w:p>
        </w:tc>
      </w:tr>
      <w:tr w:rsidR="00D84310" w14:paraId="44E96770"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6A"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6B" w14:textId="77777777" w:rsidR="00D84310" w:rsidRDefault="007029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6C" w14:textId="77777777" w:rsidR="00D84310" w:rsidRDefault="0070296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6D" w14:textId="77777777" w:rsidR="00D84310" w:rsidRDefault="00702963">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6E" w14:textId="77777777" w:rsidR="00D84310" w:rsidRDefault="00702963">
            <w:pPr>
              <w:spacing w:before="20" w:after="20"/>
            </w:pPr>
            <w:r>
              <w:rPr>
                <w:color w:val="1A1A1A"/>
                <w:sz w:val="18"/>
                <w:szCs w:val="18"/>
              </w:rPr>
              <w:t>OR across sources: at least one gate (Q10.1 or Q10.3) is answered, but not both; OR both are answered but one or both are Not Yet without any engagement in the follow-up questions. Q10.2b is blank or not applicable. Minimal recognition across the topic.</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6F" w14:textId="77777777" w:rsidR="00D84310" w:rsidRDefault="00702963">
            <w:pPr>
              <w:spacing w:before="20" w:after="20"/>
            </w:pPr>
            <w:r>
              <w:rPr>
                <w:i/>
                <w:iCs/>
                <w:color w:val="1A1A1A"/>
                <w:sz w:val="17"/>
                <w:szCs w:val="17"/>
              </w:rPr>
              <w:t>Answer both Q10.1 AND Q10.3. If some worker groups are not yet covered (Q10.2 has uncovered groups), complete Q10.2b with specific plans and a timeline for when those groups will gain access — this contributes to Awareness score 3.</w:t>
            </w:r>
          </w:p>
        </w:tc>
      </w:tr>
      <w:tr w:rsidR="00D84310" w14:paraId="44E96777"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71"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72" w14:textId="77777777" w:rsidR="00D84310" w:rsidRDefault="007029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73" w14:textId="77777777" w:rsidR="00D84310" w:rsidRDefault="0070296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4E96774" w14:textId="77777777" w:rsidR="00D84310" w:rsidRDefault="00702963">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75" w14:textId="77777777" w:rsidR="00D84310" w:rsidRDefault="00702963">
            <w:pPr>
              <w:spacing w:before="20" w:after="20"/>
            </w:pPr>
            <w:r>
              <w:rPr>
                <w:color w:val="1A1A1A"/>
                <w:sz w:val="18"/>
                <w:szCs w:val="18"/>
              </w:rPr>
              <w:t>OR across sources: Q10.1 = Yes AND Q10.3 is answered (either Yes or Not Yet); OR Q10.1 = Yes AND Q10.2b provides specific plans with a timeline for expanding coverage to currently uncovered worker groups (where Q10.2b is applicable). The company demonstrates engagement across both gate areas. Score 5 requires both gates = Yes.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76" w14:textId="77777777" w:rsidR="00D84310" w:rsidRDefault="00702963">
            <w:pPr>
              <w:spacing w:before="20" w:after="20"/>
            </w:pPr>
            <w:r>
              <w:rPr>
                <w:i/>
                <w:iCs/>
                <w:color w:val="1A1A1A"/>
                <w:sz w:val="17"/>
                <w:szCs w:val="17"/>
              </w:rPr>
              <w:t>For score 5 (AND): Q10.1 = Yes AND Q10.3 = Yes. Where Q10.2b is applicable, include a specific timeline for coverage expansion. Implement UNGP P31 effectiveness assessment to move Q10.3 to Yes.</w:t>
            </w:r>
          </w:p>
        </w:tc>
      </w:tr>
      <w:tr w:rsidR="00D84310" w14:paraId="44E9677E"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78"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79" w14:textId="77777777" w:rsidR="00D84310" w:rsidRDefault="00702963">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7A" w14:textId="77777777" w:rsidR="00D84310" w:rsidRDefault="0070296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7B" w14:textId="77777777" w:rsidR="00D84310" w:rsidRDefault="00702963">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7C" w14:textId="77777777" w:rsidR="00D84310" w:rsidRDefault="00702963">
            <w:pPr>
              <w:spacing w:before="20" w:after="20"/>
            </w:pPr>
            <w:r>
              <w:rPr>
                <w:color w:val="1A1A1A"/>
                <w:sz w:val="18"/>
                <w:szCs w:val="18"/>
              </w:rPr>
              <w:t>AND across all sources: Q10.1 = Yes AND Q10.3 = Yes. Where Q10.2b is applicable (some worker groups are not yet covered), it provides a specific timeline for when those groups will gain access. A Not Yet at either Q10.1 or Q10.3 caps Awareness at 3.</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7D" w14:textId="77777777" w:rsidR="00D84310" w:rsidRDefault="00702963">
            <w:pPr>
              <w:spacing w:before="20" w:after="20"/>
            </w:pPr>
            <w:r>
              <w:rPr>
                <w:i/>
                <w:iCs/>
                <w:color w:val="1A1A1A"/>
                <w:sz w:val="17"/>
                <w:szCs w:val="17"/>
              </w:rPr>
              <w:t>Highest level achieved. Maintain full gate engagement and keep coverage plans current where Q10.2b is applicable.</w:t>
            </w:r>
          </w:p>
        </w:tc>
      </w:tr>
      <w:tr w:rsidR="00D84310" w14:paraId="44E96785"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7F"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80" w14:textId="77777777" w:rsidR="00D84310" w:rsidRDefault="007029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81" w14:textId="77777777" w:rsidR="00D84310" w:rsidRDefault="0070296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82" w14:textId="77777777" w:rsidR="00D84310" w:rsidRDefault="00702963">
            <w:pPr>
              <w:spacing w:before="20" w:after="20"/>
            </w:pPr>
            <w:r>
              <w:rPr>
                <w:i/>
                <w:iCs/>
                <w:color w:val="1A1A1A"/>
                <w:sz w:val="17"/>
                <w:szCs w:val="17"/>
              </w:rPr>
              <w:t>No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83" w14:textId="77777777" w:rsidR="00D84310" w:rsidRDefault="00702963">
            <w:pPr>
              <w:spacing w:before="20" w:after="20"/>
            </w:pPr>
            <w:r>
              <w:rPr>
                <w:color w:val="1A1A1A"/>
                <w:sz w:val="18"/>
                <w:szCs w:val="18"/>
              </w:rPr>
              <w:t>AND across all sources: Q10.1a is blank or not populated (if Q10.1 = Yes); Q10.1b is blank (if Q10.1 = Not Yet); Q10.2 has no categories selected; Q10.2a is blank; Q10.6 is blank. No governance information provided from any source.</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84" w14:textId="77777777" w:rsidR="00D84310" w:rsidRDefault="00702963">
            <w:pPr>
              <w:spacing w:before="20" w:after="20"/>
            </w:pPr>
            <w:r>
              <w:rPr>
                <w:i/>
                <w:iCs/>
                <w:color w:val="1A1A1A"/>
                <w:sz w:val="17"/>
                <w:szCs w:val="17"/>
              </w:rPr>
              <w:t>Select at least one worker coverage category in Q10.2. Complete Q10.6 with at least one whistleblower protection measure. If Q10.1 = Yes, populate at least one row in Q10.1a with mechanism type, anonymity, and a brief description.</w:t>
            </w:r>
          </w:p>
        </w:tc>
      </w:tr>
      <w:tr w:rsidR="00D84310" w14:paraId="44E9678C"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86"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87" w14:textId="77777777" w:rsidR="00D84310" w:rsidRDefault="007029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88" w14:textId="77777777" w:rsidR="00D84310" w:rsidRDefault="0070296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89" w14:textId="77777777" w:rsidR="00D84310" w:rsidRDefault="00702963">
            <w:pPr>
              <w:spacing w:before="20" w:after="20"/>
            </w:pPr>
            <w:r>
              <w:rPr>
                <w:i/>
                <w:iCs/>
                <w:color w:val="1A1A1A"/>
                <w:sz w:val="17"/>
                <w:szCs w:val="17"/>
              </w:rPr>
              <w:t>Minimal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8A" w14:textId="77777777" w:rsidR="00D84310" w:rsidRDefault="00702963">
            <w:pPr>
              <w:spacing w:before="20" w:after="20"/>
            </w:pPr>
            <w:r>
              <w:rPr>
                <w:color w:val="1A1A1A"/>
                <w:sz w:val="18"/>
                <w:szCs w:val="18"/>
              </w:rPr>
              <w:t>OR across sources: Q10.2 selects at least one worker coverage category; OR Q10.1a has one mechanism row with a mechanism type selected but no description; OR Q10.6 mentions that protections exist without describing them; OR Q10.1b mentions an alternative approach exists. Some Approach signal exists but no substantive governance.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8B" w14:textId="77777777" w:rsidR="00D84310" w:rsidRDefault="00702963">
            <w:pPr>
              <w:spacing w:before="20" w:after="20"/>
            </w:pPr>
            <w:r>
              <w:rPr>
                <w:i/>
                <w:iCs/>
                <w:color w:val="1A1A1A"/>
                <w:sz w:val="17"/>
                <w:szCs w:val="17"/>
              </w:rPr>
              <w:t>In Q10.1a (if Q10.1 = Yes), describe how each mechanism operates — how grievances are received, reviewed, and addressed, and any confidentiality/non-retaliation assurances. In Q10.2a, describe how each covered worker group accesses the mechanisms. In Q10.6, describe the specific measures in place to protect workers from retaliation.</w:t>
            </w:r>
          </w:p>
        </w:tc>
      </w:tr>
      <w:tr w:rsidR="00D84310" w14:paraId="44E96793"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8D"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8E" w14:textId="77777777" w:rsidR="00D84310" w:rsidRDefault="007029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8F" w14:textId="77777777" w:rsidR="00D84310" w:rsidRDefault="00702963">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90" w14:textId="77777777" w:rsidR="00D84310" w:rsidRDefault="00702963">
            <w:pPr>
              <w:spacing w:before="20" w:after="20"/>
            </w:pPr>
            <w:r>
              <w:rPr>
                <w:i/>
                <w:iCs/>
                <w:color w:val="1A1A1A"/>
                <w:sz w:val="17"/>
                <w:szCs w:val="17"/>
              </w:rPr>
              <w:t>Basic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91" w14:textId="77777777" w:rsidR="00D84310" w:rsidRDefault="00702963">
            <w:pPr>
              <w:spacing w:before="20" w:after="20"/>
            </w:pPr>
            <w:r>
              <w:rPr>
                <w:color w:val="1A1A1A"/>
                <w:sz w:val="18"/>
                <w:szCs w:val="18"/>
              </w:rPr>
              <w:t>OR across sources: Q10.1a has at least one mechanism with a description covering some of the required elements (received/reviewed/addressed) but without anonymity or non-retaliation detail; OR Q10.2 covers at least employees with Q10.2a providing access detail but without G2 monitoring; OR Q10.6 describes at least one protection measure. One or two sources addressed with some specificity.</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92" w14:textId="77777777" w:rsidR="00D84310" w:rsidRDefault="00702963">
            <w:pPr>
              <w:spacing w:before="20" w:after="20"/>
            </w:pPr>
            <w:r>
              <w:rPr>
                <w:i/>
                <w:iCs/>
                <w:color w:val="1A1A1A"/>
                <w:sz w:val="17"/>
                <w:szCs w:val="17"/>
              </w:rPr>
              <w:t>In Q10.1a, ensure each mechanism description addresses confidentiality assurances AND non-retaliation protections. In Q10.2a, add G2 elements: how the company monitors that workers actually have access in practice (audits or other measures). In Q10.6, cover which worker groups (including non-employees and value chain) are covered by protection measures.</w:t>
            </w:r>
          </w:p>
        </w:tc>
      </w:tr>
      <w:tr w:rsidR="00D84310" w14:paraId="44E9679A"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94"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95" w14:textId="77777777" w:rsidR="00D84310" w:rsidRDefault="007029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96" w14:textId="77777777" w:rsidR="00D84310" w:rsidRDefault="0070296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97" w14:textId="77777777" w:rsidR="00D84310" w:rsidRDefault="00702963">
            <w:pPr>
              <w:spacing w:before="20" w:after="20"/>
            </w:pPr>
            <w:r>
              <w:rPr>
                <w:i/>
                <w:iCs/>
                <w:color w:val="1A1A1A"/>
                <w:sz w:val="17"/>
                <w:szCs w:val="17"/>
              </w:rPr>
              <w:t>Adequate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98" w14:textId="77777777" w:rsidR="00D84310" w:rsidRDefault="00702963">
            <w:pPr>
              <w:spacing w:before="20" w:after="20"/>
            </w:pPr>
            <w:r>
              <w:rPr>
                <w:color w:val="1A1A1A"/>
                <w:sz w:val="18"/>
                <w:szCs w:val="18"/>
              </w:rPr>
              <w:t>OR across sources: Q10.1a covers at least two mechanisms with descriptions addressing how they operate AND anonymity AND non-retaliation; OR Q10.2 covers multiple worker groups AND Q10.2a describes how each group accesses mechanisms with at least one G2 element; OR Q10.3a (if Yes) describes the assessment process with reference to at least two P31 criteria; OR Q10.6 describes multiple whistleblower protection measures covering the worker groups these apply to. Strength in any two sources reaches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99" w14:textId="77777777" w:rsidR="00D84310" w:rsidRDefault="00702963">
            <w:pPr>
              <w:spacing w:before="20" w:after="20"/>
            </w:pPr>
            <w:r>
              <w:rPr>
                <w:i/>
                <w:iCs/>
                <w:color w:val="1A1A1A"/>
                <w:sz w:val="17"/>
                <w:szCs w:val="17"/>
              </w:rPr>
              <w:t>For score 5 (AND): Q10.1a, Q10.2/Q10.2a, Q10.3a/b, and Q10.6 must all independently meet the adequate standard. Q10.3a must reference UNGP P31 criteria with specific assessment steps. Q10.6 must describe all applicable protection measures and which worker groups (including non-employees and value chain workers) they cover.</w:t>
            </w:r>
          </w:p>
        </w:tc>
      </w:tr>
      <w:tr w:rsidR="00D84310" w14:paraId="44E967A1"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9B"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9C" w14:textId="77777777" w:rsidR="00D84310" w:rsidRDefault="00702963">
            <w:pPr>
              <w:spacing w:before="20" w:after="20"/>
            </w:pPr>
            <w:r>
              <w:rPr>
                <w:b/>
                <w:bCs/>
                <w:color w:val="70AD47"/>
                <w:sz w:val="17"/>
                <w:szCs w:val="17"/>
              </w:rPr>
              <w:t>Approach</w:t>
            </w:r>
          </w:p>
        </w:tc>
        <w:tc>
          <w:tcPr>
            <w:tcW w:w="5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9D" w14:textId="77777777" w:rsidR="00D84310" w:rsidRDefault="0070296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vAlign w:val="center"/>
          </w:tcPr>
          <w:p w14:paraId="44E9679E" w14:textId="77777777" w:rsidR="00D84310" w:rsidRDefault="00702963">
            <w:pPr>
              <w:spacing w:before="20" w:after="20"/>
            </w:pPr>
            <w:r>
              <w:rPr>
                <w:i/>
                <w:iCs/>
                <w:color w:val="1A1A1A"/>
                <w:sz w:val="17"/>
                <w:szCs w:val="17"/>
              </w:rPr>
              <w:t>Leading Approach</w:t>
            </w:r>
          </w:p>
        </w:tc>
        <w:tc>
          <w:tcPr>
            <w:tcW w:w="380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9F" w14:textId="77777777" w:rsidR="00D84310" w:rsidRDefault="00702963">
            <w:pPr>
              <w:spacing w:before="20" w:after="20"/>
            </w:pPr>
            <w:r>
              <w:rPr>
                <w:color w:val="1A1A1A"/>
                <w:sz w:val="18"/>
                <w:szCs w:val="18"/>
              </w:rPr>
              <w:t>AND across all applicable sources: Q10.1a (if Q10.1 = Yes) must have at least one mechanism with: mechanism type, anonymity status, worker coverage, AND a description covering how grievances are received, reviewed, and addressed with confidentiality and non-retaliation assurances. Q10.2 must cover employees AND at least one additional group (non-employee direct ops or value chain workers). Q10.2a must describe how each selected group accesses mechanisms AND include at least one G2 element (monitoring access</w:t>
            </w:r>
            <w:r>
              <w:rPr>
                <w:color w:val="1A1A1A"/>
                <w:sz w:val="18"/>
                <w:szCs w:val="18"/>
              </w:rPr>
              <w:t xml:space="preserve"> in practice, multilingual provision, reprisal-safety assessment, or third-party involvement). Q10.3a (if Q10.3 = Yes) must describe assessment steps referencing UNGP P31 criteria with specific methods (trust feedback, accessibility verification, or improvement activities). OR Q10.3b (if Not Yet, capped at 3 — cannot reach score 5 from Not Yet path alone for Q10.3). Q10.6 must describe measures protecting workers from retaliation AND state which worker groups are covered.</w:t>
            </w:r>
          </w:p>
        </w:tc>
        <w:tc>
          <w:tcPr>
            <w:tcW w:w="278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A0" w14:textId="77777777" w:rsidR="00D84310" w:rsidRDefault="00702963">
            <w:pPr>
              <w:spacing w:before="20" w:after="20"/>
            </w:pPr>
            <w:r>
              <w:rPr>
                <w:i/>
                <w:iCs/>
                <w:color w:val="1A1A1A"/>
                <w:sz w:val="17"/>
                <w:szCs w:val="17"/>
              </w:rPr>
              <w:t>Highest level achieved. Maintain comprehensive grievance mechanism governance and continue assessing against UNGP P31 criteria.</w:t>
            </w:r>
          </w:p>
        </w:tc>
      </w:tr>
      <w:tr w:rsidR="00D84310" w14:paraId="44E967A8"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A2"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A3" w14:textId="77777777" w:rsidR="00D84310" w:rsidRDefault="007029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A4" w14:textId="77777777" w:rsidR="00D84310" w:rsidRDefault="00702963">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A5" w14:textId="77777777" w:rsidR="00D84310" w:rsidRDefault="00702963">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A6" w14:textId="77777777" w:rsidR="00D84310" w:rsidRDefault="00702963">
            <w:pPr>
              <w:spacing w:before="20" w:after="20"/>
            </w:pPr>
            <w:r>
              <w:rPr>
                <w:color w:val="1A1A1A"/>
                <w:sz w:val="18"/>
                <w:szCs w:val="18"/>
              </w:rPr>
              <w:t>AND across all sources: Q10.4 is entirely blank (no reported or resolved figures for direct operations or value chain, no zero stated for value chain); Q10.5 is blank (no remedy example); Q10.3a improvements are absent (if Q10.3 = Yes). No quantitative or remediation evidence provided. Note: entering zero in Q10.4 (no grievances received) IS Action evidence; leaving both rows blank is not.</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A7" w14:textId="77777777" w:rsidR="00D84310" w:rsidRDefault="00702963">
            <w:pPr>
              <w:spacing w:before="20" w:after="20"/>
            </w:pPr>
            <w:r>
              <w:rPr>
                <w:i/>
                <w:iCs/>
                <w:color w:val="1A1A1A"/>
                <w:sz w:val="17"/>
                <w:szCs w:val="17"/>
              </w:rPr>
              <w:t>Complete Q10.4 for both rows (direct operations AND value chain) with reported and resolved figures, including zero where applicable. Even entering zero demonstrates the mechanism was monitored.</w:t>
            </w:r>
          </w:p>
        </w:tc>
      </w:tr>
      <w:tr w:rsidR="00D84310" w14:paraId="44E967AF"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A9"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AA" w14:textId="77777777" w:rsidR="00D84310" w:rsidRDefault="007029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AB" w14:textId="77777777" w:rsidR="00D84310" w:rsidRDefault="00702963">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AC" w14:textId="77777777" w:rsidR="00D84310" w:rsidRDefault="00702963">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AD" w14:textId="77777777" w:rsidR="00D84310" w:rsidRDefault="00702963">
            <w:pPr>
              <w:spacing w:before="20" w:after="20"/>
            </w:pPr>
            <w:r>
              <w:rPr>
                <w:color w:val="1A1A1A"/>
                <w:sz w:val="18"/>
                <w:szCs w:val="18"/>
              </w:rPr>
              <w:t>OR across sources: Q10.4 has figures for direct operations only (value chain row blank or not addressed); OR Q10.5 provides a very brief remedy mention without describing the grievance or the remedy in any specificity. Some Action evidence exists but is incomplete.</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AE" w14:textId="77777777" w:rsidR="00D84310" w:rsidRDefault="00702963">
            <w:pPr>
              <w:spacing w:before="20" w:after="20"/>
            </w:pPr>
            <w:r>
              <w:rPr>
                <w:i/>
                <w:iCs/>
                <w:color w:val="1A1A1A"/>
                <w:sz w:val="17"/>
                <w:szCs w:val="17"/>
              </w:rPr>
              <w:t>Complete Q10.4 for the value chain row (enter the count or zero if no value chain grievances were received). In Q10.5, expand the remedy example to describe the grievance type and what remedy was provided or contributed to.</w:t>
            </w:r>
          </w:p>
        </w:tc>
      </w:tr>
      <w:tr w:rsidR="00D84310" w14:paraId="44E967B6"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B0"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B1" w14:textId="77777777" w:rsidR="00D84310" w:rsidRDefault="007029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B2" w14:textId="77777777" w:rsidR="00D84310" w:rsidRDefault="00702963">
            <w:pPr>
              <w:spacing w:before="20" w:after="20"/>
              <w:jc w:val="center"/>
            </w:pPr>
            <w:r>
              <w:rPr>
                <w:b/>
                <w:bCs/>
                <w:color w:val="1A1A1A"/>
                <w:sz w:val="19"/>
                <w:szCs w:val="19"/>
              </w:rPr>
              <w:t>2</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B3" w14:textId="77777777" w:rsidR="00D84310" w:rsidRDefault="00702963">
            <w:pPr>
              <w:spacing w:before="20" w:after="20"/>
            </w:pPr>
            <w:r>
              <w:rPr>
                <w:i/>
                <w:iCs/>
                <w:color w:val="1A1A1A"/>
                <w:sz w:val="17"/>
                <w:szCs w:val="17"/>
              </w:rPr>
              <w:t>Basic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B4" w14:textId="77777777" w:rsidR="00D84310" w:rsidRDefault="00702963">
            <w:pPr>
              <w:spacing w:before="20" w:after="20"/>
            </w:pPr>
            <w:r>
              <w:rPr>
                <w:color w:val="1A1A1A"/>
                <w:sz w:val="18"/>
                <w:szCs w:val="18"/>
              </w:rPr>
              <w:t>OR across sources: Q10.4 provides figures for both direct operations AND value chain (or explicit zero for value chain), but Q10.5 is thin (describes the grievance but not the remedy, or vice versa, without challenges or G2 elements); OR Q10.3a (if Yes) describes deficiencies identified but without improvements implemented. Two sources with partial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B5" w14:textId="77777777" w:rsidR="00D84310" w:rsidRDefault="00702963">
            <w:pPr>
              <w:spacing w:before="20" w:after="20"/>
            </w:pPr>
            <w:r>
              <w:rPr>
                <w:i/>
                <w:iCs/>
                <w:color w:val="1A1A1A"/>
                <w:sz w:val="17"/>
                <w:szCs w:val="17"/>
              </w:rPr>
              <w:t>In Q10.5, add the challenges faced AND at least one G2 element: how effectiveness of actions was verified, whether impacted workers were consulted, or lessons learned. In Q10.3a (if Yes), describe the specific improvements being implemented as a result of identified deficiencies.</w:t>
            </w:r>
          </w:p>
        </w:tc>
      </w:tr>
      <w:tr w:rsidR="00D84310" w14:paraId="44E967BD"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B7"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B8" w14:textId="77777777" w:rsidR="00D84310" w:rsidRDefault="007029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B9" w14:textId="77777777" w:rsidR="00D84310" w:rsidRDefault="00702963">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E967BA" w14:textId="77777777" w:rsidR="00D84310" w:rsidRDefault="00702963">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BB" w14:textId="77777777" w:rsidR="00D84310" w:rsidRDefault="00702963">
            <w:pPr>
              <w:spacing w:before="20" w:after="20"/>
            </w:pPr>
            <w:r>
              <w:rPr>
                <w:color w:val="1A1A1A"/>
                <w:sz w:val="18"/>
                <w:szCs w:val="18"/>
              </w:rPr>
              <w:t>AND across always-applicable sources: Q10.4 must have figures (or explicit zero) for BOTH direct operations AND value chain rows (reported AND resolved for each). AND Q10.5 must describe the grievance example AND the remedy provided or contributed to AND at least one challenge. This combination is the primary Action threshold. Q10.3a improvements may be absent at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4E967BC" w14:textId="77777777" w:rsidR="00D84310" w:rsidRDefault="00702963">
            <w:pPr>
              <w:spacing w:before="20" w:after="20"/>
            </w:pPr>
            <w:r>
              <w:rPr>
                <w:i/>
                <w:iCs/>
                <w:color w:val="1A1A1A"/>
                <w:sz w:val="17"/>
                <w:szCs w:val="17"/>
              </w:rPr>
              <w:t>Add G2 elements to Q10.5: how effectiveness of actions was verified, whether impacted workers were consulted, and lessons learned. If Q10.3 = Yes, ensure Q10.3a describes specific improvements being carried out following the effectiveness assessment.</w:t>
            </w:r>
          </w:p>
        </w:tc>
      </w:tr>
      <w:tr w:rsidR="00D84310" w14:paraId="44E967C4" w14:textId="77777777">
        <w:tblPrEx>
          <w:tblCellMar>
            <w:top w:w="0" w:type="dxa"/>
            <w:bottom w:w="0" w:type="dxa"/>
          </w:tblCellMar>
        </w:tblPrEx>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BE" w14:textId="77777777" w:rsidR="00D84310" w:rsidRDefault="00702963">
            <w:pPr>
              <w:spacing w:before="20" w:after="20"/>
              <w:jc w:val="center"/>
            </w:pPr>
            <w:r>
              <w:rPr>
                <w:b/>
                <w:bCs/>
                <w:color w:val="1A1A1A"/>
                <w:sz w:val="17"/>
                <w:szCs w:val="17"/>
              </w:rPr>
              <w:t>25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BF" w14:textId="77777777" w:rsidR="00D84310" w:rsidRDefault="00702963">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C0" w14:textId="77777777" w:rsidR="00D84310" w:rsidRDefault="00702963">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44E967C1" w14:textId="77777777" w:rsidR="00D84310" w:rsidRDefault="00702963">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C2" w14:textId="77777777" w:rsidR="00D84310" w:rsidRDefault="00702963">
            <w:pPr>
              <w:spacing w:before="20" w:after="20"/>
            </w:pPr>
            <w:r>
              <w:rPr>
                <w:color w:val="1A1A1A"/>
                <w:sz w:val="18"/>
                <w:szCs w:val="18"/>
              </w:rPr>
              <w:t>AND across all sources: Q10.4 must have reported AND resolved figures (or explicit zero) for BOTH direct operations AND value chain. Q10.5 must address: (1) the grievance example and remedy provided; (2) challenges in preventing/mitigating/addressing grievances; AND at least two G2 elements: (3) how effectiveness of actions was verified; (4) whether impacted workers were consulted; (5) whether results were communicated; (6) lessons learned and how integrated. If Q10.3 = Yes: Q10.3a must identify at least on</w:t>
            </w:r>
            <w:r>
              <w:rPr>
                <w:color w:val="1A1A1A"/>
                <w:sz w:val="18"/>
                <w:szCs w:val="18"/>
              </w:rPr>
              <w:t>e deficiency AND describe improvements being carried out. A company with complete Q10.4 and a strong Q10.5 but Q10.3 = Yes and Q10.3a improvements blank cannot reach this level.</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C3" w14:textId="77777777" w:rsidR="00D84310" w:rsidRDefault="00702963">
            <w:pPr>
              <w:spacing w:before="20" w:after="20"/>
            </w:pPr>
            <w:r>
              <w:rPr>
                <w:i/>
                <w:iCs/>
                <w:color w:val="1A1A1A"/>
                <w:sz w:val="17"/>
                <w:szCs w:val="17"/>
              </w:rPr>
              <w:t>Highest level achieved. Maintain complete grievance data and continue documenting remediation examples with effectiveness verification annually.</w:t>
            </w:r>
          </w:p>
        </w:tc>
      </w:tr>
    </w:tbl>
    <w:p w14:paraId="44E967C5" w14:textId="77777777" w:rsidR="00D84310" w:rsidRDefault="00D84310">
      <w:pPr>
        <w:pBdr>
          <w:bottom w:val="single" w:sz="4" w:space="1" w:color="D9D9D9"/>
        </w:pBdr>
        <w:spacing w:before="240" w:after="240"/>
      </w:pPr>
    </w:p>
    <w:p w14:paraId="44E967C6" w14:textId="77777777" w:rsidR="00D84310" w:rsidRDefault="00702963">
      <w:pPr>
        <w:pStyle w:val="Heading1"/>
        <w:spacing w:before="360" w:after="160"/>
      </w:pPr>
      <w:r>
        <w:rPr>
          <w:b/>
          <w:bCs/>
          <w:color w:val="1F3864"/>
          <w:sz w:val="34"/>
          <w:szCs w:val="34"/>
        </w:rPr>
        <w:t>4. Score Calculation</w:t>
      </w:r>
    </w:p>
    <w:p w14:paraId="44E967C7" w14:textId="77777777" w:rsidR="00D84310" w:rsidRDefault="00702963">
      <w:pPr>
        <w:spacing w:before="80" w:after="80"/>
      </w:pPr>
      <w:r>
        <w:rPr>
          <w:color w:val="1A1A1A"/>
        </w:rPr>
        <w:t>Once Awareness, Approach, and Action sub-scores are assigned, the composite topic score is calculated using equal weighting across the three dimensions.</w:t>
      </w:r>
    </w:p>
    <w:p w14:paraId="44E967C8" w14:textId="77777777" w:rsidR="00D84310" w:rsidRDefault="00702963">
      <w:pPr>
        <w:pStyle w:val="Heading2"/>
        <w:spacing w:before="280" w:after="120"/>
      </w:pPr>
      <w:r>
        <w:rPr>
          <w:b/>
          <w:bCs/>
          <w:color w:val="2E75B6"/>
        </w:rPr>
        <w:t>4.1  Formulas</w:t>
      </w:r>
    </w:p>
    <w:p w14:paraId="44E967C9" w14:textId="77777777" w:rsidR="00D84310" w:rsidRDefault="00702963">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Composite (0–5)   =   (Awareness  +  Approach  +  Action)  ÷  3</w:t>
      </w:r>
    </w:p>
    <w:p w14:paraId="44E967CA" w14:textId="77777777" w:rsidR="00D84310" w:rsidRDefault="00702963">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Pr>
          <w:rFonts w:ascii="Courier New" w:eastAsia="Courier New" w:hAnsi="Courier New" w:cs="Courier New"/>
          <w:b/>
          <w:bCs/>
          <w:color w:val="1F3864"/>
        </w:rPr>
        <w:t>Topic Score (0–100)   =   Composite (0–5)  ×  20</w:t>
      </w:r>
    </w:p>
    <w:p w14:paraId="44E967CB" w14:textId="77777777" w:rsidR="00D84310" w:rsidRDefault="00702963">
      <w:pPr>
        <w:spacing w:before="80" w:after="60"/>
      </w:pPr>
      <w:r>
        <w:rPr>
          <w:i/>
          <w:iCs/>
          <w:color w:val="666666"/>
          <w:sz w:val="17"/>
          <w:szCs w:val="17"/>
        </w:rPr>
        <w:t>All reported topic scores are on the 0–100 scale. Each dimension carries equal weight (33.3%). Grievance counts in Q10.4 are not scored as higher or lower being better. Q10.4 and Q10.5 are always applicable — Action is not zero for Not Yet companies on Q10.1 or Q10.3.</w:t>
      </w:r>
    </w:p>
    <w:p w14:paraId="44E967CC" w14:textId="77777777" w:rsidR="00D84310" w:rsidRDefault="00702963">
      <w:pPr>
        <w:pStyle w:val="Heading2"/>
        <w:spacing w:before="280" w:after="120"/>
      </w:pPr>
      <w:r>
        <w:rPr>
          <w:b/>
          <w:bCs/>
          <w:color w:val="2E75B6"/>
        </w:rPr>
        <w:t>4.2  Worked Examples</w:t>
      </w:r>
    </w:p>
    <w:p w14:paraId="44E967CD" w14:textId="77777777" w:rsidR="00D84310" w:rsidRDefault="00702963">
      <w:pPr>
        <w:spacing w:before="80" w:after="80"/>
      </w:pPr>
      <w:r>
        <w:rPr>
          <w:b/>
          <w:bCs/>
          <w:color w:val="2E75B6"/>
        </w:rPr>
        <w:t>Example A: Comprehensive grievance governance with full incident data</w:t>
      </w:r>
    </w:p>
    <w:p w14:paraId="44E967CE" w14:textId="77777777" w:rsidR="00D84310" w:rsidRDefault="00702963">
      <w:pPr>
        <w:spacing w:before="80" w:after="80"/>
      </w:pPr>
      <w:r>
        <w:rPr>
          <w:color w:val="1A1A1A"/>
          <w:sz w:val="19"/>
          <w:szCs w:val="19"/>
        </w:rPr>
        <w:t>Q10.1: Yes. Q10.1a: Mechanism 1 — Hotline. Anonymity: Yes. Workers covered: Full-time/permanent employees + Non-employee direct ops. Description: “Anonymous 24/7 hotline (third-party operated by EthicsPoint). Grievances triaged by HR within 2 business days, investigated by an independent internal team, and closed with written outcome to complainant within 30 days. Confidentiality maintained throughout; non-retaliation policy applies to all users. In 2024, 97% of cases closed within the 30-day SLA.” Mechanis</w:t>
      </w:r>
      <w:r>
        <w:rPr>
          <w:color w:val="1A1A1A"/>
          <w:sz w:val="19"/>
          <w:szCs w:val="19"/>
        </w:rPr>
        <w:t>m 2 — Web portal. Anonymity: Yes. Workers: all categories. Description: same governance; also accessible in 6 languages.</w:t>
      </w:r>
    </w:p>
    <w:p w14:paraId="44E967CF" w14:textId="77777777" w:rsidR="00D84310" w:rsidRDefault="00702963">
      <w:pPr>
        <w:spacing w:before="80" w:after="80"/>
      </w:pPr>
      <w:r>
        <w:rPr>
          <w:color w:val="1A1A1A"/>
          <w:sz w:val="19"/>
          <w:szCs w:val="19"/>
        </w:rPr>
        <w:t>Q10.2: Employees + Non-employee direct ops + Value chain selected. Q10.2a: “Permanent and fixed-term employees access via hotline or portal (promoted in onboarding and annual comms). Non-employee direct ops workers (contractors): access via portal, communicated through labour supply agreements. Value chain: Tier 1 suppliers have access via a dedicated supplier portal, audited annually to confirm awareness.” Q10.3: Yes. Q10.3a: “We assess our mechanisms annually against UNGP P31 criteria. Legitimacy: indepen</w:t>
      </w:r>
      <w:r>
        <w:rPr>
          <w:color w:val="1A1A1A"/>
          <w:sz w:val="19"/>
          <w:szCs w:val="19"/>
        </w:rPr>
        <w:t>dent third-party operator. Accessibility: barrier analysis shows 4.2% of workers unaware of channels (2024 survey); we launched a targeted awareness campaign in 3 locations. Deficiency identified: value chain workers reported difficulty accessing the portal in low-bandwidth areas. Improvement underway: offline paper-based form introduced in Q1 2025 for 2 suppliers.” Q10.4: Direct operations: reported 47, resolved 43. Value chain: reported 6, resolved 5. Q10.5: “A grievance was raised by a warehouse operativ</w:t>
      </w:r>
      <w:r>
        <w:rPr>
          <w:color w:val="1A1A1A"/>
          <w:sz w:val="19"/>
          <w:szCs w:val="19"/>
        </w:rPr>
        <w:t>e regarding unsafe manual handling equipment. The company replaced the faulty equipment within 5 days and conducted a site-wide equipment audit. Challenges: initial reluctance to raise formal grievances due to perceived peer stigma; addressed by peer education sessions. Effectiveness verification: complainant satisfaction survey (score 4.2/5). Workers consulted: site safety rep involved in audit. Lessons: peer education embedded in annual training from 2025. Results communicated to site team.” Q10.6: “Non-r</w:t>
      </w:r>
      <w:r>
        <w:rPr>
          <w:color w:val="1A1A1A"/>
          <w:sz w:val="19"/>
          <w:szCs w:val="19"/>
        </w:rPr>
        <w:t>etaliation policy in place covering all employees and non-employee direct ops workers. Annual training on whistleblower rights (2024: 98% completion). Anonymous reporting channels available. Value chain workers covered by supplier code of conduct requirement.”</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D84310" w14:paraId="44E967D3"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D0" w14:textId="77777777" w:rsidR="00D84310" w:rsidRDefault="0070296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D1" w14:textId="77777777" w:rsidR="00D84310" w:rsidRDefault="0070296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D2" w14:textId="77777777" w:rsidR="00D84310" w:rsidRDefault="00702963">
            <w:pPr>
              <w:jc w:val="center"/>
            </w:pPr>
            <w:r>
              <w:rPr>
                <w:b/>
                <w:bCs/>
                <w:color w:val="FFFFFF"/>
                <w:sz w:val="16"/>
                <w:szCs w:val="16"/>
              </w:rPr>
              <w:t>Calculation</w:t>
            </w:r>
          </w:p>
        </w:tc>
      </w:tr>
      <w:tr w:rsidR="00D84310" w14:paraId="44E967D7"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D4" w14:textId="77777777" w:rsidR="00D84310" w:rsidRDefault="0070296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D5" w14:textId="77777777" w:rsidR="00D84310" w:rsidRDefault="00702963">
            <w:pPr>
              <w:spacing w:before="20" w:after="20"/>
            </w:pPr>
            <w:r>
              <w:rPr>
                <w:color w:val="1A1A1A"/>
                <w:sz w:val="18"/>
                <w:szCs w:val="18"/>
              </w:rPr>
              <w:t>5 (Leading) — AND satisfied: Q10.1 = Yes, Q10.3 = Yes. Q10.2b not applicable (all three worker groups covered). All AND conditions met.</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D6" w14:textId="77777777" w:rsidR="00D84310" w:rsidRDefault="00D84310">
            <w:pPr>
              <w:spacing w:before="20" w:after="20"/>
            </w:pPr>
          </w:p>
        </w:tc>
      </w:tr>
      <w:tr w:rsidR="00D84310" w14:paraId="44E967DB"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D8" w14:textId="77777777" w:rsidR="00D84310" w:rsidRDefault="0070296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D9" w14:textId="77777777" w:rsidR="00D84310" w:rsidRDefault="00702963">
            <w:pPr>
              <w:spacing w:before="20" w:after="20"/>
            </w:pPr>
            <w:r>
              <w:rPr>
                <w:color w:val="1A1A1A"/>
                <w:sz w:val="18"/>
                <w:szCs w:val="18"/>
              </w:rPr>
              <w:t>5 (Leading) — AND satisfied: Q10.1a has two mechanisms with type, anonymity, coverage, and descriptions including confidentiality and non-retaliation. Q10.2 covers 3 groups; Q10.2a describes access for each with G2 monitoring (annual audit). Q10.3a references P31 criteria with specific assessment steps (barrier analysis, accessibility gap identified). Q10.6 covers all groups with training completion rate and anonymous channels.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DA" w14:textId="77777777" w:rsidR="00D84310" w:rsidRDefault="00D84310">
            <w:pPr>
              <w:spacing w:before="20" w:after="20"/>
            </w:pPr>
          </w:p>
        </w:tc>
      </w:tr>
      <w:tr w:rsidR="00D84310" w14:paraId="44E967DF"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DC" w14:textId="77777777" w:rsidR="00D84310" w:rsidRDefault="00702963">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DD" w14:textId="77777777" w:rsidR="00D84310" w:rsidRDefault="00702963">
            <w:pPr>
              <w:spacing w:before="20" w:after="20"/>
            </w:pPr>
            <w:r>
              <w:rPr>
                <w:color w:val="1A1A1A"/>
                <w:sz w:val="18"/>
                <w:szCs w:val="18"/>
              </w:rPr>
              <w:t>5 (Leading) — AND satisfied: Q10.4 complete (direct ops: 47/43; value chain: 6/5). Q10.5 has remedy example + challenges + 4 G2 elements (effectiveness verification, worker consultation, lessons learned, results communicated). Q10.3a identifies a deficiency (offline access gap) AND improvement underway (paper form for 2 suppliers).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DE" w14:textId="77777777" w:rsidR="00D84310" w:rsidRDefault="00D84310">
            <w:pPr>
              <w:spacing w:before="20" w:after="20"/>
            </w:pPr>
          </w:p>
        </w:tc>
      </w:tr>
      <w:tr w:rsidR="00D84310" w14:paraId="44E967E3"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E967E0" w14:textId="77777777" w:rsidR="00D84310" w:rsidRDefault="00702963">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E967E1" w14:textId="77777777" w:rsidR="00D84310" w:rsidRDefault="00702963">
            <w:pPr>
              <w:spacing w:before="20" w:after="20"/>
            </w:pPr>
            <w:r>
              <w:rPr>
                <w:b/>
                <w:bCs/>
                <w:color w:val="1A1A1A"/>
                <w:sz w:val="19"/>
                <w:szCs w:val="19"/>
              </w:rPr>
              <w:t>(5 + 5 + 5) ÷ 3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E967E2" w14:textId="77777777" w:rsidR="00D84310" w:rsidRDefault="00702963">
            <w:pPr>
              <w:spacing w:before="20" w:after="20"/>
            </w:pPr>
            <w:r>
              <w:rPr>
                <w:b/>
                <w:bCs/>
                <w:color w:val="1A1A1A"/>
                <w:sz w:val="19"/>
                <w:szCs w:val="19"/>
              </w:rPr>
              <w:t>Topic Score = 5.00 × 20 = 100 / 100</w:t>
            </w:r>
          </w:p>
        </w:tc>
      </w:tr>
    </w:tbl>
    <w:p w14:paraId="44E967E4" w14:textId="77777777" w:rsidR="00D84310" w:rsidRDefault="00702963">
      <w:pPr>
        <w:spacing w:before="80" w:after="60"/>
      </w:pPr>
      <w:r>
        <w:rPr>
          <w:i/>
          <w:iCs/>
          <w:color w:val="666666"/>
          <w:sz w:val="17"/>
          <w:szCs w:val="17"/>
        </w:rPr>
        <w:t>Full marks. The 47 grievances reported is not what drives the score — the transparency, governance structure, and the specific remedy example with four G2 elements are what differentiate.</w:t>
      </w:r>
    </w:p>
    <w:p w14:paraId="44E967E5" w14:textId="77777777" w:rsidR="00D84310" w:rsidRDefault="00702963">
      <w:pPr>
        <w:spacing w:before="240" w:after="80"/>
      </w:pPr>
      <w:r>
        <w:rPr>
          <w:b/>
          <w:bCs/>
          <w:color w:val="2E75B6"/>
        </w:rPr>
        <w:t>Example B: Not Yet on UNGP assessment, partial data</w:t>
      </w:r>
    </w:p>
    <w:p w14:paraId="44E967E6" w14:textId="77777777" w:rsidR="00D84310" w:rsidRDefault="00702963">
      <w:pPr>
        <w:spacing w:before="80" w:after="80"/>
      </w:pPr>
      <w:r>
        <w:rPr>
          <w:color w:val="1A1A1A"/>
          <w:sz w:val="19"/>
          <w:szCs w:val="19"/>
        </w:rPr>
        <w:t xml:space="preserve">Q10.1: Yes. Q10.1a: Mechanism 1 — In-person/HR. Anonymity: Not yet. Workers: employees. Description: “Workers can raise concerns with their HR Business Partner.” Q10.2: Employees only. Q10.2a: “Permanent employees can speak to HR.” Q10.2b: “We plan to extend access to contractors by end of 2026.” Q10.3: Not Yet. Q10.3b: “We rely on HR feedback and open door policy to assess trust.” Q10.4: Direct operations: reported 8, resolved 8. Value chain: blank (no zero stated). Q10.5: “A worker raised a concern about </w:t>
      </w:r>
      <w:r>
        <w:rPr>
          <w:color w:val="1A1A1A"/>
          <w:sz w:val="19"/>
          <w:szCs w:val="19"/>
        </w:rPr>
        <w:t>shift allocation and we resolved it.” Q10.6: “We have a non-retaliation policy.”</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D84310" w14:paraId="44E967EA" w14:textId="77777777">
        <w:tblPrEx>
          <w:tblCellMar>
            <w:top w:w="0" w:type="dxa"/>
            <w:bottom w:w="0" w:type="dxa"/>
          </w:tblCellMar>
        </w:tblPrEx>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E7" w14:textId="77777777" w:rsidR="00D84310" w:rsidRDefault="00702963">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E8" w14:textId="77777777" w:rsidR="00D84310" w:rsidRDefault="00702963">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4E967E9" w14:textId="77777777" w:rsidR="00D84310" w:rsidRDefault="00702963">
            <w:pPr>
              <w:jc w:val="center"/>
            </w:pPr>
            <w:r>
              <w:rPr>
                <w:b/>
                <w:bCs/>
                <w:color w:val="FFFFFF"/>
                <w:sz w:val="16"/>
                <w:szCs w:val="16"/>
              </w:rPr>
              <w:t>Calculation</w:t>
            </w:r>
          </w:p>
        </w:tc>
      </w:tr>
      <w:tr w:rsidR="00D84310" w14:paraId="44E967EE"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EB" w14:textId="77777777" w:rsidR="00D84310" w:rsidRDefault="00702963">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EC" w14:textId="77777777" w:rsidR="00D84310" w:rsidRDefault="00702963">
            <w:pPr>
              <w:spacing w:before="20" w:after="20"/>
            </w:pPr>
            <w:r>
              <w:rPr>
                <w:color w:val="1A1A1A"/>
                <w:sz w:val="18"/>
                <w:szCs w:val="18"/>
              </w:rPr>
              <w:t>3 (Adequate) — Q10.1 = Yes AND Q10.3 is answered (Not Yet). Q10.2b provides a specific timeline (end 2026 for contractors). Score 5 requires Q10.3 = Yes.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4E967ED" w14:textId="77777777" w:rsidR="00D84310" w:rsidRDefault="00D84310">
            <w:pPr>
              <w:spacing w:before="20" w:after="20"/>
            </w:pPr>
          </w:p>
        </w:tc>
      </w:tr>
      <w:tr w:rsidR="00D84310" w14:paraId="44E967F2"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EF" w14:textId="77777777" w:rsidR="00D84310" w:rsidRDefault="00702963">
            <w:pPr>
              <w:spacing w:before="20" w:after="20"/>
            </w:pPr>
            <w:r>
              <w:rPr>
                <w:b/>
                <w:bCs/>
                <w:color w:val="70AD47"/>
                <w:sz w:val="19"/>
                <w:szCs w:val="19"/>
              </w:rPr>
              <w:t>Approach</w:t>
            </w:r>
          </w:p>
        </w:tc>
        <w:tc>
          <w:tcPr>
            <w:tcW w:w="5040"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F0" w14:textId="77777777" w:rsidR="00D84310" w:rsidRDefault="00702963">
            <w:pPr>
              <w:spacing w:before="20" w:after="20"/>
            </w:pPr>
            <w:r>
              <w:rPr>
                <w:color w:val="1A1A1A"/>
                <w:sz w:val="18"/>
                <w:szCs w:val="18"/>
              </w:rPr>
              <w:t>1 (Minimal) — Q10.1a has one mechanism (in-person/HR) with a minimal description and no anonymity/confidentiality/non-retaliation detail. Q10.2 covers employees only. Q10.2a is too thin (no G2 elements). Q10.6 mentions a policy exists without describing it. Q10.3b mentions HR feedback without specifics. OR: minimal signals across all Approach sources.</w:t>
            </w:r>
          </w:p>
        </w:tc>
        <w:tc>
          <w:tcPr>
            <w:tcW w:w="3024" w:type="dxa"/>
            <w:tcBorders>
              <w:top w:val="single" w:sz="1" w:space="0" w:color="CCCCCC"/>
              <w:left w:val="single" w:sz="1" w:space="0" w:color="CCCCCC"/>
              <w:bottom w:val="single" w:sz="1" w:space="0" w:color="CCCCCC"/>
              <w:right w:val="single" w:sz="1" w:space="0" w:color="CCCCCC"/>
            </w:tcBorders>
            <w:shd w:val="clear" w:color="auto" w:fill="EDF7ED"/>
            <w:tcMar>
              <w:top w:w="90" w:type="dxa"/>
              <w:left w:w="130" w:type="dxa"/>
              <w:bottom w:w="90" w:type="dxa"/>
              <w:right w:w="130" w:type="dxa"/>
            </w:tcMar>
          </w:tcPr>
          <w:p w14:paraId="44E967F1" w14:textId="77777777" w:rsidR="00D84310" w:rsidRDefault="00D84310">
            <w:pPr>
              <w:spacing w:before="20" w:after="20"/>
            </w:pPr>
          </w:p>
        </w:tc>
      </w:tr>
      <w:tr w:rsidR="00D84310" w14:paraId="44E967F6"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F3" w14:textId="77777777" w:rsidR="00D84310" w:rsidRDefault="00702963">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F4" w14:textId="77777777" w:rsidR="00D84310" w:rsidRDefault="00702963">
            <w:pPr>
              <w:spacing w:before="20" w:after="20"/>
            </w:pPr>
            <w:r>
              <w:rPr>
                <w:color w:val="1A1A1A"/>
                <w:sz w:val="18"/>
                <w:szCs w:val="18"/>
              </w:rPr>
              <w:t>1 (Minimal) — Q10.4 provides figures for direct operations (8/8) but value chain row is blank without a zero or explanation. Q10.5 names the issue (shift allocation) but describes neither the remedy nor challenges in any specificity. Q10.3a absent (Not Yet). OR: partial Q10.4 data reaches score 1.</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4E967F5" w14:textId="77777777" w:rsidR="00D84310" w:rsidRDefault="00D84310">
            <w:pPr>
              <w:spacing w:before="20" w:after="20"/>
            </w:pPr>
          </w:p>
        </w:tc>
      </w:tr>
      <w:tr w:rsidR="00D84310" w14:paraId="44E967FA" w14:textId="77777777">
        <w:tblPrEx>
          <w:tblCellMar>
            <w:top w:w="0" w:type="dxa"/>
            <w:bottom w:w="0" w:type="dxa"/>
          </w:tblCellMar>
        </w:tblPrEx>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E967F7" w14:textId="77777777" w:rsidR="00D84310" w:rsidRDefault="00702963">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E967F8" w14:textId="77777777" w:rsidR="00D84310" w:rsidRDefault="00702963">
            <w:pPr>
              <w:spacing w:before="20" w:after="20"/>
            </w:pPr>
            <w:r>
              <w:rPr>
                <w:b/>
                <w:bCs/>
                <w:color w:val="1A1A1A"/>
                <w:sz w:val="19"/>
                <w:szCs w:val="19"/>
              </w:rPr>
              <w:t>(3 + 1 + 1) ÷ 3 = 1.67</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4E967F9" w14:textId="77777777" w:rsidR="00D84310" w:rsidRDefault="00702963">
            <w:pPr>
              <w:spacing w:before="20" w:after="20"/>
            </w:pPr>
            <w:r>
              <w:rPr>
                <w:b/>
                <w:bCs/>
                <w:color w:val="1A1A1A"/>
                <w:sz w:val="19"/>
                <w:szCs w:val="19"/>
              </w:rPr>
              <w:t>Topic Score = 1.67 × 20 = 33 / 100</w:t>
            </w:r>
          </w:p>
        </w:tc>
      </w:tr>
    </w:tbl>
    <w:p w14:paraId="44E967FB" w14:textId="77777777" w:rsidR="00D84310" w:rsidRDefault="00702963">
      <w:pPr>
        <w:spacing w:before="80" w:after="60"/>
      </w:pPr>
      <w:r>
        <w:rPr>
          <w:i/>
          <w:iCs/>
          <w:color w:val="666666"/>
          <w:sz w:val="17"/>
          <w:szCs w:val="17"/>
        </w:rPr>
        <w:t>33/100. Key gaps: (1) Q10.1a description must add confidentiality and non-retaliation assurances; (2) Q10.4 value chain row must be completed or zero stated; (3) Q10.5 must describe what remedy was provided and any challenges; (4) Q10.6 must describe the policy content and which workers it covers; (5) implement UNGP P31 assessment to move Q10.3 to Yes.</w:t>
      </w:r>
    </w:p>
    <w:sectPr w:rsidR="00D84310">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F4D8" w14:textId="77777777" w:rsidR="00702963" w:rsidRDefault="00702963" w:rsidP="00B73B7E">
      <w:r>
        <w:separator/>
      </w:r>
    </w:p>
  </w:endnote>
  <w:endnote w:type="continuationSeparator" w:id="0">
    <w:p w14:paraId="790D3314" w14:textId="77777777" w:rsidR="00702963" w:rsidRDefault="00702963" w:rsidP="00B7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6F0A" w14:textId="77777777" w:rsidR="00B73B7E" w:rsidRDefault="00B73B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AC4C5" w14:textId="77777777" w:rsidR="00B73B7E" w:rsidRDefault="00B73B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D1955" w14:textId="77777777" w:rsidR="00B73B7E" w:rsidRDefault="00B73B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67D4D" w14:textId="77777777" w:rsidR="00702963" w:rsidRDefault="00702963" w:rsidP="00B73B7E">
      <w:r>
        <w:separator/>
      </w:r>
    </w:p>
  </w:footnote>
  <w:footnote w:type="continuationSeparator" w:id="0">
    <w:p w14:paraId="1D4B6E82" w14:textId="77777777" w:rsidR="00702963" w:rsidRDefault="00702963" w:rsidP="00B7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372E5" w14:textId="77777777" w:rsidR="00B73B7E" w:rsidRDefault="00B73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8018654"/>
      <w:docPartObj>
        <w:docPartGallery w:val="Watermarks"/>
        <w:docPartUnique/>
      </w:docPartObj>
    </w:sdtPr>
    <w:sdtContent>
      <w:p w14:paraId="65369EDA" w14:textId="22292943" w:rsidR="00B73B7E" w:rsidRDefault="00B73B7E">
        <w:pPr>
          <w:pStyle w:val="Header"/>
        </w:pPr>
        <w:r>
          <w:rPr>
            <w:noProof/>
          </w:rPr>
          <w:pict w14:anchorId="681A3C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B8F2C" w14:textId="77777777" w:rsidR="00B73B7E" w:rsidRDefault="00B73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2A1568"/>
    <w:multiLevelType w:val="hybridMultilevel"/>
    <w:tmpl w:val="B8F061F0"/>
    <w:lvl w:ilvl="0" w:tplc="AED24D50">
      <w:start w:val="1"/>
      <w:numFmt w:val="bullet"/>
      <w:lvlText w:val="●"/>
      <w:lvlJc w:val="left"/>
      <w:pPr>
        <w:ind w:left="720" w:hanging="360"/>
      </w:pPr>
    </w:lvl>
    <w:lvl w:ilvl="1" w:tplc="6B32C92E">
      <w:start w:val="1"/>
      <w:numFmt w:val="bullet"/>
      <w:lvlText w:val="○"/>
      <w:lvlJc w:val="left"/>
      <w:pPr>
        <w:ind w:left="1440" w:hanging="360"/>
      </w:pPr>
    </w:lvl>
    <w:lvl w:ilvl="2" w:tplc="5EB47A44">
      <w:start w:val="1"/>
      <w:numFmt w:val="bullet"/>
      <w:lvlText w:val="■"/>
      <w:lvlJc w:val="left"/>
      <w:pPr>
        <w:ind w:left="2160" w:hanging="360"/>
      </w:pPr>
    </w:lvl>
    <w:lvl w:ilvl="3" w:tplc="074EA80E">
      <w:start w:val="1"/>
      <w:numFmt w:val="bullet"/>
      <w:lvlText w:val="●"/>
      <w:lvlJc w:val="left"/>
      <w:pPr>
        <w:ind w:left="2880" w:hanging="360"/>
      </w:pPr>
    </w:lvl>
    <w:lvl w:ilvl="4" w:tplc="971C7294">
      <w:start w:val="1"/>
      <w:numFmt w:val="bullet"/>
      <w:lvlText w:val="○"/>
      <w:lvlJc w:val="left"/>
      <w:pPr>
        <w:ind w:left="3600" w:hanging="360"/>
      </w:pPr>
    </w:lvl>
    <w:lvl w:ilvl="5" w:tplc="F0C43C4C">
      <w:start w:val="1"/>
      <w:numFmt w:val="bullet"/>
      <w:lvlText w:val="■"/>
      <w:lvlJc w:val="left"/>
      <w:pPr>
        <w:ind w:left="4320" w:hanging="360"/>
      </w:pPr>
    </w:lvl>
    <w:lvl w:ilvl="6" w:tplc="98B85D70">
      <w:start w:val="1"/>
      <w:numFmt w:val="bullet"/>
      <w:lvlText w:val="●"/>
      <w:lvlJc w:val="left"/>
      <w:pPr>
        <w:ind w:left="5040" w:hanging="360"/>
      </w:pPr>
    </w:lvl>
    <w:lvl w:ilvl="7" w:tplc="152CB714">
      <w:start w:val="1"/>
      <w:numFmt w:val="bullet"/>
      <w:lvlText w:val="●"/>
      <w:lvlJc w:val="left"/>
      <w:pPr>
        <w:ind w:left="5760" w:hanging="360"/>
      </w:pPr>
    </w:lvl>
    <w:lvl w:ilvl="8" w:tplc="1102C44E">
      <w:start w:val="1"/>
      <w:numFmt w:val="bullet"/>
      <w:lvlText w:val="●"/>
      <w:lvlJc w:val="left"/>
      <w:pPr>
        <w:ind w:left="6480" w:hanging="360"/>
      </w:pPr>
    </w:lvl>
  </w:abstractNum>
  <w:num w:numId="1" w16cid:durableId="127574653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10"/>
    <w:rsid w:val="00702963"/>
    <w:rsid w:val="00B73B7E"/>
    <w:rsid w:val="00BA5F60"/>
    <w:rsid w:val="00D843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96742"/>
  <w15:docId w15:val="{8B093BA9-FA5F-40AF-8E47-5CA6FA49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73B7E"/>
    <w:pPr>
      <w:tabs>
        <w:tab w:val="center" w:pos="4513"/>
        <w:tab w:val="right" w:pos="9026"/>
      </w:tabs>
    </w:pPr>
  </w:style>
  <w:style w:type="character" w:customStyle="1" w:styleId="HeaderChar">
    <w:name w:val="Header Char"/>
    <w:basedOn w:val="DefaultParagraphFont"/>
    <w:link w:val="Header"/>
    <w:uiPriority w:val="99"/>
    <w:rsid w:val="00B73B7E"/>
  </w:style>
  <w:style w:type="paragraph" w:styleId="Footer">
    <w:name w:val="footer"/>
    <w:basedOn w:val="Normal"/>
    <w:link w:val="FooterChar"/>
    <w:uiPriority w:val="99"/>
    <w:unhideWhenUsed/>
    <w:rsid w:val="00B73B7E"/>
    <w:pPr>
      <w:tabs>
        <w:tab w:val="center" w:pos="4513"/>
        <w:tab w:val="right" w:pos="9026"/>
      </w:tabs>
    </w:pPr>
  </w:style>
  <w:style w:type="character" w:customStyle="1" w:styleId="FooterChar">
    <w:name w:val="Footer Char"/>
    <w:basedOn w:val="DefaultParagraphFont"/>
    <w:link w:val="Footer"/>
    <w:uiPriority w:val="99"/>
    <w:rsid w:val="00B73B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1F54B4-F9FD-4A47-A271-54819C8D929C}">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customXml/itemProps2.xml><?xml version="1.0" encoding="utf-8"?>
<ds:datastoreItem xmlns:ds="http://schemas.openxmlformats.org/officeDocument/2006/customXml" ds:itemID="{8B5B7E71-4C98-42A1-BB56-587F614A15CF}">
  <ds:schemaRefs>
    <ds:schemaRef ds:uri="http://schemas.microsoft.com/sharepoint/v3/contenttype/forms"/>
  </ds:schemaRefs>
</ds:datastoreItem>
</file>

<file path=customXml/itemProps3.xml><?xml version="1.0" encoding="utf-8"?>
<ds:datastoreItem xmlns:ds="http://schemas.openxmlformats.org/officeDocument/2006/customXml" ds:itemID="{6AEAC51A-8ADF-4FD0-8C5A-1CAEC69561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3675</Words>
  <Characters>20951</Characters>
  <Application>Microsoft Office Word</Application>
  <DocSecurity>0</DocSecurity>
  <Lines>174</Lines>
  <Paragraphs>49</Paragraphs>
  <ScaleCrop>false</ScaleCrop>
  <Company/>
  <LinksUpToDate>false</LinksUpToDate>
  <CharactersWithSpaces>24577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Karkhedkar, Shruti (TR Foundation)</cp:lastModifiedBy>
  <cp:revision>2</cp:revision>
  <dcterms:created xsi:type="dcterms:W3CDTF">2026-07-06T07:52:00Z</dcterms:created>
  <dcterms:modified xsi:type="dcterms:W3CDTF">2026-07-14T16:19:00Z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